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38" w:rsidRDefault="00A06675">
      <w:pPr>
        <w:pStyle w:val="20"/>
        <w:framePr w:w="13890" w:h="3490" w:hRule="exact" w:wrap="none" w:vAnchor="page" w:hAnchor="page" w:x="1733" w:y="1075"/>
        <w:shd w:val="clear" w:color="auto" w:fill="auto"/>
        <w:ind w:left="20" w:firstLine="0"/>
      </w:pPr>
      <w:r>
        <w:t xml:space="preserve">Порядок действий заявителя и регулируемой организации при подаче, </w:t>
      </w:r>
      <w:r w:rsidR="003834FB">
        <w:t>приеме, обработке</w:t>
      </w:r>
      <w:r>
        <w:t xml:space="preserve"> заявки на подключение к системе теплоснабжении, принятии решения и</w:t>
      </w:r>
    </w:p>
    <w:p w:rsidR="00296F38" w:rsidRDefault="00A06675">
      <w:pPr>
        <w:pStyle w:val="20"/>
        <w:framePr w:w="13890" w:h="3490" w:hRule="exact" w:wrap="none" w:vAnchor="page" w:hAnchor="page" w:x="1733" w:y="1075"/>
        <w:shd w:val="clear" w:color="auto" w:fill="auto"/>
        <w:spacing w:after="240"/>
        <w:ind w:left="20" w:firstLine="0"/>
      </w:pPr>
      <w:r>
        <w:t>уведомлении о принятом решении</w:t>
      </w:r>
    </w:p>
    <w:p w:rsidR="00296F38" w:rsidRDefault="00A06675">
      <w:pPr>
        <w:pStyle w:val="20"/>
        <w:framePr w:w="13890" w:h="3490" w:hRule="exact" w:wrap="none" w:vAnchor="page" w:hAnchor="page" w:x="1733" w:y="1075"/>
        <w:shd w:val="clear" w:color="auto" w:fill="auto"/>
        <w:ind w:firstLine="840"/>
        <w:jc w:val="both"/>
      </w:pPr>
      <w:r>
        <w:t xml:space="preserve">Разработан на основании постановления правительства РФ от 13 февраля 2006 г. </w:t>
      </w:r>
      <w:r>
        <w:rPr>
          <w:lang w:val="en-US" w:eastAsia="en-US" w:bidi="en-US"/>
        </w:rPr>
        <w:t>N</w:t>
      </w:r>
      <w:r w:rsidRPr="003834FB">
        <w:rPr>
          <w:lang w:eastAsia="en-US" w:bidi="en-US"/>
        </w:rPr>
        <w:t xml:space="preserve"> </w:t>
      </w:r>
      <w:r>
        <w:t>83 “Об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обеспечения".</w:t>
      </w:r>
    </w:p>
    <w:p w:rsidR="00296F38" w:rsidRDefault="00A06675">
      <w:pPr>
        <w:pStyle w:val="20"/>
        <w:framePr w:w="13890" w:h="17042" w:hRule="exact" w:wrap="none" w:vAnchor="page" w:hAnchor="page" w:x="1733" w:y="5195"/>
        <w:numPr>
          <w:ilvl w:val="0"/>
          <w:numId w:val="1"/>
        </w:numPr>
        <w:shd w:val="clear" w:color="auto" w:fill="auto"/>
        <w:tabs>
          <w:tab w:val="left" w:pos="683"/>
        </w:tabs>
        <w:ind w:left="660"/>
        <w:jc w:val="both"/>
      </w:pPr>
      <w:r>
        <w:t>подача заказчиком заявления о подключении:</w:t>
      </w:r>
    </w:p>
    <w:p w:rsidR="00296F38" w:rsidRDefault="00A06675">
      <w:pPr>
        <w:pStyle w:val="20"/>
        <w:framePr w:w="13890" w:h="17042" w:hRule="exact" w:wrap="none" w:vAnchor="page" w:hAnchor="page" w:x="1733" w:y="5195"/>
        <w:numPr>
          <w:ilvl w:val="0"/>
          <w:numId w:val="1"/>
        </w:numPr>
        <w:shd w:val="clear" w:color="auto" w:fill="auto"/>
        <w:tabs>
          <w:tab w:val="left" w:pos="683"/>
        </w:tabs>
        <w:ind w:left="660"/>
        <w:jc w:val="both"/>
      </w:pPr>
      <w:r>
        <w:t>заключение договора о подключении;</w:t>
      </w:r>
    </w:p>
    <w:p w:rsidR="00296F38" w:rsidRDefault="00A06675">
      <w:pPr>
        <w:pStyle w:val="20"/>
        <w:framePr w:w="13890" w:h="17042" w:hRule="exact" w:wrap="none" w:vAnchor="page" w:hAnchor="page" w:x="1733" w:y="5195"/>
        <w:numPr>
          <w:ilvl w:val="0"/>
          <w:numId w:val="1"/>
        </w:numPr>
        <w:shd w:val="clear" w:color="auto" w:fill="auto"/>
        <w:tabs>
          <w:tab w:val="left" w:pos="683"/>
        </w:tabs>
        <w:ind w:left="660"/>
        <w:jc w:val="both"/>
      </w:pPr>
      <w:r>
        <w:t>выдача исполнителем заказчику условий подключения (технических услови</w:t>
      </w:r>
      <w:r w:rsidR="003834FB">
        <w:t>й для присоединения), которые не</w:t>
      </w:r>
      <w:r>
        <w:t xml:space="preserve"> противоречат техническим условиям, ранее полученным заказчиком от исполнителя или органа местного самоуправления либо от предыдущего правообладателя земельного участка, при условии, что срок</w:t>
      </w:r>
      <w:r w:rsidR="003834FB">
        <w:t xml:space="preserve"> действия технических условий не</w:t>
      </w:r>
      <w:r>
        <w:t xml:space="preserve"> истек;</w:t>
      </w:r>
    </w:p>
    <w:p w:rsidR="00296F38" w:rsidRDefault="00A06675">
      <w:pPr>
        <w:pStyle w:val="20"/>
        <w:framePr w:w="13890" w:h="17042" w:hRule="exact" w:wrap="none" w:vAnchor="page" w:hAnchor="page" w:x="1733" w:y="5195"/>
        <w:numPr>
          <w:ilvl w:val="0"/>
          <w:numId w:val="1"/>
        </w:numPr>
        <w:shd w:val="clear" w:color="auto" w:fill="auto"/>
        <w:tabs>
          <w:tab w:val="left" w:pos="683"/>
        </w:tabs>
        <w:ind w:left="660"/>
        <w:jc w:val="both"/>
      </w:pPr>
      <w:r>
        <w:t>выполнение заказчиком условий подключения;</w:t>
      </w:r>
    </w:p>
    <w:p w:rsidR="00296F38" w:rsidRDefault="00A06675">
      <w:pPr>
        <w:pStyle w:val="20"/>
        <w:framePr w:w="13890" w:h="17042" w:hRule="exact" w:wrap="none" w:vAnchor="page" w:hAnchor="page" w:x="1733" w:y="5195"/>
        <w:numPr>
          <w:ilvl w:val="0"/>
          <w:numId w:val="1"/>
        </w:numPr>
        <w:shd w:val="clear" w:color="auto" w:fill="auto"/>
        <w:tabs>
          <w:tab w:val="left" w:pos="683"/>
        </w:tabs>
        <w:ind w:left="660"/>
        <w:jc w:val="both"/>
      </w:pPr>
      <w:r>
        <w:t>проверка исполнителем выполнения заказчиком условий подключения;</w:t>
      </w:r>
    </w:p>
    <w:p w:rsidR="00296F38" w:rsidRDefault="00A06675">
      <w:pPr>
        <w:pStyle w:val="20"/>
        <w:framePr w:w="13890" w:h="17042" w:hRule="exact" w:wrap="none" w:vAnchor="page" w:hAnchor="page" w:x="1733" w:y="5195"/>
        <w:numPr>
          <w:ilvl w:val="0"/>
          <w:numId w:val="1"/>
        </w:numPr>
        <w:shd w:val="clear" w:color="auto" w:fill="auto"/>
        <w:tabs>
          <w:tab w:val="left" w:pos="683"/>
        </w:tabs>
        <w:ind w:left="660"/>
        <w:jc w:val="both"/>
      </w:pPr>
      <w:r>
        <w:t>присоединение заказчиком объекта к сетям инженерно-технического обеспечения и подписание сторонами акта о присоединении;</w:t>
      </w:r>
    </w:p>
    <w:p w:rsidR="00296F38" w:rsidRDefault="00A06675">
      <w:pPr>
        <w:pStyle w:val="20"/>
        <w:framePr w:w="13890" w:h="17042" w:hRule="exact" w:wrap="none" w:vAnchor="page" w:hAnchor="page" w:x="1733" w:y="5195"/>
        <w:numPr>
          <w:ilvl w:val="0"/>
          <w:numId w:val="1"/>
        </w:numPr>
        <w:shd w:val="clear" w:color="auto" w:fill="auto"/>
        <w:tabs>
          <w:tab w:val="left" w:pos="683"/>
        </w:tabs>
        <w:spacing w:after="360"/>
        <w:ind w:left="660"/>
        <w:jc w:val="both"/>
      </w:pPr>
      <w:r>
        <w:t>выполнение условии подачи ресурсов.</w:t>
      </w:r>
    </w:p>
    <w:p w:rsidR="00296F38" w:rsidRDefault="00A06675">
      <w:pPr>
        <w:pStyle w:val="20"/>
        <w:framePr w:w="13890" w:h="17042" w:hRule="exact" w:wrap="none" w:vAnchor="page" w:hAnchor="page" w:x="1733" w:y="5195"/>
        <w:shd w:val="clear" w:color="auto" w:fill="auto"/>
        <w:ind w:firstLine="840"/>
        <w:jc w:val="both"/>
      </w:pPr>
      <w:r>
        <w:t xml:space="preserve">Исполнитель при получении от заказчика заявления о подключении объекта </w:t>
      </w:r>
      <w:r w:rsidR="003834FB">
        <w:t>капитального строительства к сет</w:t>
      </w:r>
      <w:r>
        <w:t>ям инженерно-технического обеспечения и необходимых документов проверяет их соответствие установленным в настоящих Правилах требованиям.</w:t>
      </w:r>
    </w:p>
    <w:p w:rsidR="00296F38" w:rsidRDefault="003834FB">
      <w:pPr>
        <w:pStyle w:val="20"/>
        <w:framePr w:w="13890" w:h="17042" w:hRule="exact" w:wrap="none" w:vAnchor="page" w:hAnchor="page" w:x="1733" w:y="5195"/>
        <w:shd w:val="clear" w:color="auto" w:fill="auto"/>
        <w:ind w:firstLine="840"/>
        <w:jc w:val="both"/>
      </w:pPr>
      <w:r>
        <w:t>В случае представления не</w:t>
      </w:r>
      <w:r w:rsidR="00A06675">
        <w:t xml:space="preserve"> всех документов, указанных в пункте 6 Правил, исполнитель в течение 6 рабочих дней с даты получения указанного заявления уведомляет об этом заказчика и в 30-дневный срок с даты получения недостающих документов рассматривав заявление о подключении.</w:t>
      </w:r>
    </w:p>
    <w:p w:rsidR="00296F38" w:rsidRDefault="00A06675">
      <w:pPr>
        <w:pStyle w:val="20"/>
        <w:framePr w:w="13890" w:h="17042" w:hRule="exact" w:wrap="none" w:vAnchor="page" w:hAnchor="page" w:x="1733" w:y="5195"/>
        <w:shd w:val="clear" w:color="auto" w:fill="auto"/>
        <w:ind w:firstLine="840"/>
        <w:jc w:val="both"/>
      </w:pPr>
      <w:r>
        <w:t xml:space="preserve">В случае представления всех документов, указанных в пункте 6 Правил, исполнитель в 30-дневный срок с даты их получения направляет </w:t>
      </w:r>
      <w:r w:rsidR="003834FB">
        <w:t>заказчику,</w:t>
      </w:r>
      <w:r>
        <w:t xml:space="preserve"> подписанный договор о подключении и условия подключения.</w:t>
      </w:r>
    </w:p>
    <w:p w:rsidR="00296F38" w:rsidRDefault="00A06675">
      <w:pPr>
        <w:pStyle w:val="20"/>
        <w:framePr w:w="13890" w:h="17042" w:hRule="exact" w:wrap="none" w:vAnchor="page" w:hAnchor="page" w:x="1733" w:y="5195"/>
        <w:shd w:val="clear" w:color="auto" w:fill="auto"/>
        <w:ind w:firstLine="840"/>
        <w:jc w:val="both"/>
      </w:pPr>
      <w:r>
        <w:t xml:space="preserve">Условия подключения должны предусматривать подключение в пределах </w:t>
      </w:r>
      <w:r w:rsidR="003834FB">
        <w:t>границ</w:t>
      </w:r>
      <w:r>
        <w:t xml:space="preserve"> земельного участка, за исключением случаев, установленных пунктом 7 Правил определения и предоставления технических условий подключения объекта капитального строительства к сетям инженерно-технического обеспечения.</w:t>
      </w:r>
    </w:p>
    <w:p w:rsidR="00296F38" w:rsidRDefault="00A06675">
      <w:pPr>
        <w:pStyle w:val="20"/>
        <w:framePr w:w="13890" w:h="17042" w:hRule="exact" w:wrap="none" w:vAnchor="page" w:hAnchor="page" w:x="1733" w:y="5195"/>
        <w:shd w:val="clear" w:color="auto" w:fill="auto"/>
        <w:ind w:firstLine="840"/>
        <w:jc w:val="both"/>
      </w:pPr>
      <w:r>
        <w:t>В соответствии с выданными исполнителем условиями подключения объекта капитального строительства к сетям инженерно-технического обеспечения заказчик разрабатывает проектную документацию, утвержденную в установленном порядке. Отступления от условий подключения, необходимость которых выявлена в ходе проектирования, подлежат обязательному согласованию с исполнителем.</w:t>
      </w:r>
    </w:p>
    <w:p w:rsidR="00296F38" w:rsidRDefault="00A06675">
      <w:pPr>
        <w:pStyle w:val="20"/>
        <w:framePr w:w="13890" w:h="17042" w:hRule="exact" w:wrap="none" w:vAnchor="page" w:hAnchor="page" w:x="1733" w:y="5195"/>
        <w:shd w:val="clear" w:color="auto" w:fill="auto"/>
        <w:ind w:firstLine="840"/>
        <w:jc w:val="both"/>
      </w:pPr>
      <w:r>
        <w:t xml:space="preserve">Заказчик предоставляет исполнителю I </w:t>
      </w:r>
      <w:r w:rsidR="003834FB">
        <w:t>эк</w:t>
      </w:r>
      <w:r>
        <w:t>земпляр раздела "Сведения об инженерном оборудовании, о сетях инженерно-технического обеспечения, перечень инженерно- технических мероприятий, содержание технологических решений" разработанной и утвержденной в установленном порядке проектной документации.</w:t>
      </w:r>
    </w:p>
    <w:p w:rsidR="00296F38" w:rsidRDefault="00A06675">
      <w:pPr>
        <w:pStyle w:val="20"/>
        <w:framePr w:w="13890" w:h="17042" w:hRule="exact" w:wrap="none" w:vAnchor="page" w:hAnchor="page" w:x="1733" w:y="5195"/>
        <w:shd w:val="clear" w:color="auto" w:fill="auto"/>
        <w:ind w:firstLine="840"/>
        <w:jc w:val="both"/>
      </w:pPr>
      <w:r>
        <w:t>В случае если в процессе строительства (реконструкции) объекта капитального строительства превышен срок действия условий его подключения к сетям инженерно- технического обеспечения, указанный срок продлевается по согласованию с исполнителем на основании обращения заказчика.</w:t>
      </w:r>
    </w:p>
    <w:p w:rsidR="00296F38" w:rsidRDefault="00A06675">
      <w:pPr>
        <w:pStyle w:val="20"/>
        <w:framePr w:w="13890" w:h="17042" w:hRule="exact" w:wrap="none" w:vAnchor="page" w:hAnchor="page" w:x="1733" w:y="5195"/>
        <w:shd w:val="clear" w:color="auto" w:fill="auto"/>
        <w:ind w:firstLine="840"/>
        <w:jc w:val="both"/>
      </w:pPr>
      <w:r>
        <w:t>После выполнения заказчиком условий подключения объекта капитального строительства к сетям инженерно-технического обеспечения исполнитель выдает разрешение на осуществление заказчиком присоединения указанною объекта к сетям</w:t>
      </w:r>
    </w:p>
    <w:p w:rsidR="00296F38" w:rsidRDefault="00296F38">
      <w:pPr>
        <w:rPr>
          <w:sz w:val="2"/>
          <w:szCs w:val="2"/>
        </w:rPr>
        <w:sectPr w:rsidR="00296F38">
          <w:pgSz w:w="16840" w:h="238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6F38" w:rsidRDefault="00A06675">
      <w:pPr>
        <w:pStyle w:val="20"/>
        <w:framePr w:w="13390" w:h="12974" w:hRule="exact" w:wrap="none" w:vAnchor="page" w:hAnchor="page" w:x="1983" w:y="1123"/>
        <w:shd w:val="clear" w:color="auto" w:fill="auto"/>
        <w:spacing w:line="380" w:lineRule="exact"/>
        <w:ind w:firstLine="0"/>
        <w:jc w:val="both"/>
      </w:pPr>
      <w:r>
        <w:lastRenderedPageBreak/>
        <w:t>инженерно-технического обеспечения. После осуществления присоединения исполнитель и заказчик подписывают акт о присоединении.</w:t>
      </w:r>
    </w:p>
    <w:p w:rsidR="00296F38" w:rsidRDefault="00A06675">
      <w:pPr>
        <w:pStyle w:val="20"/>
        <w:framePr w:w="13390" w:h="12974" w:hRule="exact" w:wrap="none" w:vAnchor="page" w:hAnchor="page" w:x="1983" w:y="1123"/>
        <w:shd w:val="clear" w:color="auto" w:fill="auto"/>
        <w:spacing w:line="380" w:lineRule="exact"/>
        <w:ind w:firstLine="780"/>
        <w:jc w:val="both"/>
      </w:pPr>
      <w:r>
        <w:t>Работы по присоединению мо</w:t>
      </w:r>
      <w:r w:rsidR="003834FB">
        <w:t>гут</w:t>
      </w:r>
      <w:r>
        <w:t xml:space="preserve"> осуществляться исполнителем на основании отдельного договора, заключаемого им с заказчиком. При этом связанные с проведением работ по присоединению расходы организации, осуществляющей эксплуатацию сетей инженерно-технического обеспечения, не включаются в состав расходов, учитываемых при установлении платы за подключение.</w:t>
      </w:r>
    </w:p>
    <w:p w:rsidR="00296F38" w:rsidRDefault="00A06675">
      <w:pPr>
        <w:pStyle w:val="20"/>
        <w:framePr w:w="13390" w:h="12974" w:hRule="exact" w:wrap="none" w:vAnchor="page" w:hAnchor="page" w:x="1983" w:y="1123"/>
        <w:shd w:val="clear" w:color="auto" w:fill="auto"/>
        <w:spacing w:line="380" w:lineRule="exact"/>
        <w:ind w:firstLine="780"/>
        <w:jc w:val="both"/>
      </w:pPr>
      <w:r>
        <w:t>Исполнитель осуществляет надзор за выполнением мероприятий по присоединению.</w:t>
      </w:r>
    </w:p>
    <w:p w:rsidR="00296F38" w:rsidRDefault="00A06675">
      <w:pPr>
        <w:pStyle w:val="20"/>
        <w:framePr w:w="13390" w:h="12974" w:hRule="exact" w:wrap="none" w:vAnchor="page" w:hAnchor="page" w:x="1983" w:y="1123"/>
        <w:shd w:val="clear" w:color="auto" w:fill="auto"/>
        <w:spacing w:line="380" w:lineRule="exact"/>
        <w:ind w:firstLine="780"/>
        <w:jc w:val="both"/>
      </w:pPr>
      <w:r>
        <w:t>До начала подачи ресурсов (оказания соответствующих услуг) заказчик должен получить разрешение на ввод в эксплуатацию объектов капитальн</w:t>
      </w:r>
      <w:r w:rsidR="003834FB">
        <w:t>ого строительства, заключить дого</w:t>
      </w:r>
      <w:r>
        <w:t>воры о снабжении соответствующими видами ресурсов (об оказании соответствующих услуг), получение которых обеспечивается в результате подключения объекта капитального строительства к сетям инженерно-технического обеспечения.</w:t>
      </w:r>
    </w:p>
    <w:p w:rsidR="00296F38" w:rsidRDefault="00A06675">
      <w:pPr>
        <w:pStyle w:val="20"/>
        <w:framePr w:w="13390" w:h="12974" w:hRule="exact" w:wrap="none" w:vAnchor="page" w:hAnchor="page" w:x="1983" w:y="1123"/>
        <w:shd w:val="clear" w:color="auto" w:fill="auto"/>
        <w:spacing w:line="380" w:lineRule="exact"/>
        <w:ind w:firstLine="780"/>
        <w:jc w:val="both"/>
      </w:pPr>
      <w:r>
        <w:t>До ввода объектов капитального строительства в эксплуатацию заказчик обязан:</w:t>
      </w:r>
    </w:p>
    <w:p w:rsidR="00296F38" w:rsidRDefault="00A06675">
      <w:pPr>
        <w:pStyle w:val="20"/>
        <w:framePr w:w="13390" w:h="12974" w:hRule="exact" w:wrap="none" w:vAnchor="page" w:hAnchor="page" w:x="1983" w:y="1123"/>
        <w:shd w:val="clear" w:color="auto" w:fill="auto"/>
        <w:spacing w:line="380" w:lineRule="exact"/>
        <w:ind w:firstLine="780"/>
        <w:jc w:val="both"/>
      </w:pPr>
      <w:r>
        <w:t>обеспечить доступ исполнителя к объектам, подключаемым к сетям инженерно- технического обеспечения, для проверки выполнения заказчиком условий подключения;</w:t>
      </w:r>
    </w:p>
    <w:p w:rsidR="00296F38" w:rsidRDefault="00A06675">
      <w:pPr>
        <w:pStyle w:val="20"/>
        <w:framePr w:w="13390" w:h="12974" w:hRule="exact" w:wrap="none" w:vAnchor="page" w:hAnchor="page" w:x="1983" w:y="1123"/>
        <w:shd w:val="clear" w:color="auto" w:fill="auto"/>
        <w:spacing w:line="380" w:lineRule="exact"/>
        <w:ind w:firstLine="780"/>
        <w:jc w:val="both"/>
      </w:pPr>
      <w:r>
        <w:t>выполнить установленные в настоящих Правилах требования, необходимые для подачи ресурсов, с учетом особенностей подключения объектов к отдельным видам сетей инженерно-технического обеспечения.</w:t>
      </w:r>
    </w:p>
    <w:p w:rsidR="00296F38" w:rsidRDefault="00A06675">
      <w:pPr>
        <w:pStyle w:val="20"/>
        <w:framePr w:w="13390" w:h="12974" w:hRule="exact" w:wrap="none" w:vAnchor="page" w:hAnchor="page" w:x="1983" w:y="1123"/>
        <w:shd w:val="clear" w:color="auto" w:fill="auto"/>
        <w:spacing w:line="380" w:lineRule="exact"/>
        <w:ind w:firstLine="780"/>
        <w:jc w:val="both"/>
      </w:pPr>
      <w:r>
        <w:t>По соглашению сторон подключение к сетям инженерно-технического обеспечения объектов, не относящихся к объектам капитального строительства (временные постройки, киоски, навесы и другие подобные постройки), а также обеспечение соответствующими видами ресурсов строящихся объектов капитального строительства осуществляются в соответствии с на</w:t>
      </w:r>
      <w:r w:rsidR="003834FB">
        <w:t>стоящими Правилами, если иное не</w:t>
      </w:r>
      <w:r>
        <w:t xml:space="preserve"> установлено законодательством Российской Федерации.</w:t>
      </w:r>
    </w:p>
    <w:p w:rsidR="00296F38" w:rsidRDefault="00A06675">
      <w:pPr>
        <w:pStyle w:val="20"/>
        <w:framePr w:w="13390" w:h="12974" w:hRule="exact" w:wrap="none" w:vAnchor="page" w:hAnchor="page" w:x="1983" w:y="1123"/>
        <w:shd w:val="clear" w:color="auto" w:fill="auto"/>
        <w:spacing w:after="232" w:line="380" w:lineRule="exact"/>
        <w:ind w:firstLine="780"/>
        <w:jc w:val="both"/>
      </w:pPr>
      <w:r>
        <w:t>Лицо, осуществляющее самовольное технологическое подключение объекта капитального строительства к сетям инженерно-технического обеспечения, несет ответственность в соответствии с законодательством Российской Федерации.</w:t>
      </w:r>
    </w:p>
    <w:p w:rsidR="00296F38" w:rsidRPr="003834FB" w:rsidRDefault="00A06675">
      <w:pPr>
        <w:pStyle w:val="30"/>
        <w:framePr w:w="13390" w:h="12974" w:hRule="exact" w:wrap="none" w:vAnchor="page" w:hAnchor="page" w:x="1983" w:y="1123"/>
        <w:shd w:val="clear" w:color="auto" w:fill="auto"/>
        <w:spacing w:before="0"/>
        <w:rPr>
          <w:rFonts w:ascii="Times New Roman" w:hAnsi="Times New Roman" w:cs="Times New Roman"/>
        </w:rPr>
      </w:pPr>
      <w:r w:rsidRPr="003834FB">
        <w:rPr>
          <w:rFonts w:ascii="Times New Roman" w:hAnsi="Times New Roman" w:cs="Times New Roman"/>
        </w:rPr>
        <w:t xml:space="preserve">Телефоны и адреса службы, ответственной за прием и обработку заявок на подключение к системе теплоснабжения </w:t>
      </w:r>
      <w:r w:rsidR="003834FB" w:rsidRPr="003834FB">
        <w:rPr>
          <w:rFonts w:ascii="Times New Roman" w:hAnsi="Times New Roman" w:cs="Times New Roman"/>
        </w:rPr>
        <w:t xml:space="preserve">Кропоткинского филиала </w:t>
      </w:r>
      <w:r w:rsidRPr="003834FB">
        <w:rPr>
          <w:rFonts w:ascii="Times New Roman" w:hAnsi="Times New Roman" w:cs="Times New Roman"/>
        </w:rPr>
        <w:t>ООО «</w:t>
      </w:r>
      <w:r w:rsidR="003834FB" w:rsidRPr="003834FB">
        <w:rPr>
          <w:rFonts w:ascii="Times New Roman" w:hAnsi="Times New Roman" w:cs="Times New Roman"/>
        </w:rPr>
        <w:t xml:space="preserve">Газпром теплоэнерго </w:t>
      </w:r>
      <w:r w:rsidRPr="003834FB">
        <w:rPr>
          <w:rFonts w:ascii="Times New Roman" w:hAnsi="Times New Roman" w:cs="Times New Roman"/>
        </w:rPr>
        <w:t>Кр</w:t>
      </w:r>
      <w:r w:rsidR="003834FB" w:rsidRPr="003834FB">
        <w:rPr>
          <w:rFonts w:ascii="Times New Roman" w:hAnsi="Times New Roman" w:cs="Times New Roman"/>
        </w:rPr>
        <w:t>аснодар</w:t>
      </w:r>
      <w:r w:rsidRPr="003834FB">
        <w:rPr>
          <w:rFonts w:ascii="Times New Roman" w:hAnsi="Times New Roman" w:cs="Times New Roman"/>
        </w:rPr>
        <w:t>»</w:t>
      </w:r>
    </w:p>
    <w:p w:rsidR="00296F38" w:rsidRPr="003834FB" w:rsidRDefault="00A06675">
      <w:pPr>
        <w:pStyle w:val="30"/>
        <w:framePr w:w="13390" w:h="12974" w:hRule="exact" w:wrap="none" w:vAnchor="page" w:hAnchor="page" w:x="1983" w:y="1123"/>
        <w:shd w:val="clear" w:color="auto" w:fill="auto"/>
        <w:spacing w:before="0"/>
        <w:rPr>
          <w:rFonts w:ascii="Times New Roman" w:hAnsi="Times New Roman" w:cs="Times New Roman"/>
        </w:rPr>
      </w:pPr>
      <w:r w:rsidRPr="003834FB">
        <w:rPr>
          <w:rFonts w:ascii="Times New Roman" w:hAnsi="Times New Roman" w:cs="Times New Roman"/>
        </w:rPr>
        <w:t>Краснодарский край, г. Кропоткин, ул. Заводская 1 «а»</w:t>
      </w:r>
    </w:p>
    <w:p w:rsidR="00296F38" w:rsidRPr="003834FB" w:rsidRDefault="00A06675">
      <w:pPr>
        <w:pStyle w:val="30"/>
        <w:framePr w:w="13390" w:h="12974" w:hRule="exact" w:wrap="none" w:vAnchor="page" w:hAnchor="page" w:x="1983" w:y="1123"/>
        <w:shd w:val="clear" w:color="auto" w:fill="auto"/>
        <w:spacing w:before="0"/>
        <w:rPr>
          <w:rFonts w:ascii="Times New Roman" w:hAnsi="Times New Roman" w:cs="Times New Roman"/>
        </w:rPr>
      </w:pPr>
      <w:r w:rsidRPr="003834FB">
        <w:rPr>
          <w:rFonts w:ascii="Times New Roman" w:hAnsi="Times New Roman" w:cs="Times New Roman"/>
        </w:rPr>
        <w:t>Тел. Приемной 8-86138-6-20-17</w:t>
      </w:r>
    </w:p>
    <w:p w:rsidR="00296F38" w:rsidRPr="003834FB" w:rsidRDefault="00A06675">
      <w:pPr>
        <w:pStyle w:val="30"/>
        <w:framePr w:w="13390" w:h="12974" w:hRule="exact" w:wrap="none" w:vAnchor="page" w:hAnchor="page" w:x="1983" w:y="1123"/>
        <w:shd w:val="clear" w:color="auto" w:fill="auto"/>
        <w:spacing w:before="0"/>
        <w:rPr>
          <w:rFonts w:ascii="Times New Roman" w:hAnsi="Times New Roman" w:cs="Times New Roman"/>
        </w:rPr>
      </w:pPr>
      <w:r w:rsidRPr="003834FB">
        <w:rPr>
          <w:rFonts w:ascii="Times New Roman" w:hAnsi="Times New Roman" w:cs="Times New Roman"/>
        </w:rPr>
        <w:t>Тел. Производственно-технического отдела 8-86138-6-18-90</w:t>
      </w:r>
    </w:p>
    <w:p w:rsidR="00296F38" w:rsidRPr="003834FB" w:rsidRDefault="00296F38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296F38" w:rsidRPr="003834FB">
      <w:pgSz w:w="16840" w:h="238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41" w:rsidRDefault="00D60C41">
      <w:r>
        <w:separator/>
      </w:r>
    </w:p>
  </w:endnote>
  <w:endnote w:type="continuationSeparator" w:id="0">
    <w:p w:rsidR="00D60C41" w:rsidRDefault="00D6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41" w:rsidRDefault="00D60C41"/>
  </w:footnote>
  <w:footnote w:type="continuationSeparator" w:id="0">
    <w:p w:rsidR="00D60C41" w:rsidRDefault="00D60C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30CB2"/>
    <w:multiLevelType w:val="multilevel"/>
    <w:tmpl w:val="81A2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38"/>
    <w:rsid w:val="00296F38"/>
    <w:rsid w:val="003834FB"/>
    <w:rsid w:val="00A06675"/>
    <w:rsid w:val="00D6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292CF-9D7C-4D6D-943D-B591C10C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90" w:lineRule="exact"/>
      <w:ind w:hanging="48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390" w:lineRule="exact"/>
    </w:pPr>
    <w:rPr>
      <w:rFonts w:ascii="Arial" w:eastAsia="Arial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D:\Порядок подключения к отоплению\Порядок действий при подключении к системе теплоснабжения\Порядок действия при подключении к отоплению\Порядок действий 1.jpg</vt:lpstr>
    </vt:vector>
  </TitlesOfParts>
  <Company>Hewlett-Packard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D:\Порядок подключения к отоплению\Порядок действий при подключении к системе теплоснабжения\Порядок действия при подключении к отоплению\Порядок действий 1.jpg</dc:title>
  <dc:creator>Николай</dc:creator>
  <cp:lastModifiedBy>Николай Кравченко</cp:lastModifiedBy>
  <cp:revision>2</cp:revision>
  <dcterms:created xsi:type="dcterms:W3CDTF">2016-12-27T07:28:00Z</dcterms:created>
  <dcterms:modified xsi:type="dcterms:W3CDTF">2016-12-27T08:10:00Z</dcterms:modified>
</cp:coreProperties>
</file>